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/>
          <w:bCs/>
          <w:szCs w:val="21"/>
        </w:rPr>
      </w:pPr>
      <w:r>
        <w:rPr>
          <w:rFonts w:hint="eastAsia" w:ascii="黑体" w:hAnsi="宋体" w:eastAsia="黑体"/>
          <w:bCs/>
          <w:szCs w:val="21"/>
        </w:rPr>
        <w:t>附表</w:t>
      </w:r>
      <w:r>
        <w:rPr>
          <w:rFonts w:ascii="黑体" w:hAnsi="宋体" w:eastAsia="黑体"/>
          <w:bCs/>
          <w:szCs w:val="21"/>
        </w:rPr>
        <w:t>5</w:t>
      </w:r>
    </w:p>
    <w:p>
      <w:pPr>
        <w:widowControl/>
        <w:spacing w:line="584" w:lineRule="exact"/>
        <w:jc w:val="center"/>
        <w:rPr>
          <w:rFonts w:ascii="方正小标宋_GBK" w:hAnsi="华文中宋" w:eastAsia="方正小标宋_GBK"/>
          <w:bCs/>
          <w:sz w:val="44"/>
          <w:szCs w:val="44"/>
        </w:rPr>
      </w:pPr>
      <w:r>
        <w:rPr>
          <w:rFonts w:hint="eastAsia" w:ascii="方正小标宋_GBK" w:hAnsi="华文中宋" w:eastAsia="方正小标宋_GBK"/>
          <w:bCs/>
          <w:sz w:val="44"/>
          <w:szCs w:val="44"/>
        </w:rPr>
        <w:t>会计师事务所（分所）支出明细表</w:t>
      </w:r>
    </w:p>
    <w:p>
      <w:pPr>
        <w:pStyle w:val="6"/>
        <w:jc w:val="right"/>
        <w:rPr>
          <w:rFonts w:ascii="楷体_GB2312" w:hAnsi="宋体" w:eastAsia="楷体_GB2312" w:cs="仿宋_GB2312"/>
          <w:color w:val="auto"/>
          <w:sz w:val="21"/>
          <w:szCs w:val="21"/>
        </w:rPr>
      </w:pPr>
      <w:r>
        <w:rPr>
          <w:rFonts w:ascii="楷体_GB2312" w:hAnsi="宋体" w:eastAsia="楷体_GB2312" w:cs="仿宋_GB2312"/>
          <w:color w:val="auto"/>
          <w:sz w:val="21"/>
          <w:szCs w:val="21"/>
        </w:rPr>
        <w:t xml:space="preserve">                                              </w:t>
      </w:r>
      <w:r>
        <w:rPr>
          <w:rFonts w:hint="eastAsia" w:ascii="楷体_GB2312" w:hAnsi="宋体" w:eastAsia="楷体_GB2312" w:cs="仿宋_GB2312"/>
          <w:color w:val="auto"/>
          <w:sz w:val="21"/>
          <w:szCs w:val="21"/>
        </w:rPr>
        <w:t>单位：万元</w:t>
      </w:r>
    </w:p>
    <w:tbl>
      <w:tblPr>
        <w:tblStyle w:val="3"/>
        <w:tblW w:w="8732" w:type="dxa"/>
        <w:tblInd w:w="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645"/>
        <w:gridCol w:w="2575"/>
        <w:gridCol w:w="251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645" w:type="dxa"/>
            <w:tcBorders>
              <w:top w:val="single" w:color="auto" w:sz="8" w:space="0"/>
            </w:tcBorders>
          </w:tcPr>
          <w:p>
            <w:pPr>
              <w:widowControl/>
              <w:spacing w:beforeLines="10" w:afterLines="10" w:line="240" w:lineRule="exact"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  <w:t>项</w:t>
            </w:r>
            <w:r>
              <w:rPr>
                <w:rFonts w:ascii="黑体" w:hAnsi="宋体" w:eastAsia="黑体" w:cs="宋体"/>
                <w:kern w:val="0"/>
                <w:sz w:val="21"/>
                <w:szCs w:val="21"/>
              </w:rPr>
              <w:t xml:space="preserve">      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  <w:t>目</w:t>
            </w:r>
          </w:p>
        </w:tc>
        <w:tc>
          <w:tcPr>
            <w:tcW w:w="2575" w:type="dxa"/>
            <w:tcBorders>
              <w:top w:val="single" w:color="auto" w:sz="8" w:space="0"/>
            </w:tcBorders>
          </w:tcPr>
          <w:p>
            <w:pPr>
              <w:widowControl/>
              <w:spacing w:beforeLines="10" w:afterLines="10" w:line="240" w:lineRule="exact"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</w:rPr>
            </w:pPr>
            <w:r>
              <w:rPr>
                <w:rFonts w:ascii="黑体" w:hAnsi="宋体" w:eastAsia="黑体" w:cs="宋体"/>
                <w:kern w:val="0"/>
                <w:sz w:val="21"/>
                <w:szCs w:val="21"/>
              </w:rPr>
              <w:t>2018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  <w:t>年度</w:t>
            </w:r>
          </w:p>
        </w:tc>
        <w:tc>
          <w:tcPr>
            <w:tcW w:w="2512" w:type="dxa"/>
            <w:tcBorders>
              <w:top w:val="single" w:color="auto" w:sz="8" w:space="0"/>
            </w:tcBorders>
          </w:tcPr>
          <w:p>
            <w:pPr>
              <w:widowControl/>
              <w:spacing w:beforeLines="10" w:afterLines="10" w:line="240" w:lineRule="exact"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</w:rPr>
            </w:pPr>
            <w:r>
              <w:rPr>
                <w:rFonts w:ascii="黑体" w:hAnsi="宋体" w:eastAsia="黑体" w:cs="宋体"/>
                <w:kern w:val="0"/>
                <w:sz w:val="21"/>
                <w:szCs w:val="21"/>
              </w:rPr>
              <w:t>2017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  <w:t>年度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645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一、营业支出</w:t>
            </w:r>
          </w:p>
        </w:tc>
        <w:tc>
          <w:tcPr>
            <w:tcW w:w="2575" w:type="dxa"/>
          </w:tcPr>
          <w:p>
            <w:pPr>
              <w:widowControl/>
              <w:spacing w:beforeLines="10" w:afterLines="10" w:line="24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12" w:type="dxa"/>
          </w:tcPr>
          <w:p>
            <w:pPr>
              <w:widowControl/>
              <w:spacing w:beforeLines="10" w:afterLines="10" w:line="24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645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（一）工资薪酬支出</w:t>
            </w:r>
          </w:p>
        </w:tc>
        <w:tc>
          <w:tcPr>
            <w:tcW w:w="2575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12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645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合伙人（股东）工资薪酬支出</w:t>
            </w:r>
          </w:p>
        </w:tc>
        <w:tc>
          <w:tcPr>
            <w:tcW w:w="2575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12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645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高级经理级人员工资薪酬支出</w:t>
            </w:r>
          </w:p>
        </w:tc>
        <w:tc>
          <w:tcPr>
            <w:tcW w:w="2575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512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645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经理级人员工资薪酬支出</w:t>
            </w:r>
          </w:p>
        </w:tc>
        <w:tc>
          <w:tcPr>
            <w:tcW w:w="2575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2512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645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其他人员工资薪酬支出</w:t>
            </w:r>
          </w:p>
        </w:tc>
        <w:tc>
          <w:tcPr>
            <w:tcW w:w="2575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2512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645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（二）业务费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**</w:t>
            </w:r>
          </w:p>
        </w:tc>
        <w:tc>
          <w:tcPr>
            <w:tcW w:w="2575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2512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645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（三）教育培训支出</w:t>
            </w:r>
          </w:p>
        </w:tc>
        <w:tc>
          <w:tcPr>
            <w:tcW w:w="2575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2512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645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其中：境内培训支出</w:t>
            </w:r>
          </w:p>
        </w:tc>
        <w:tc>
          <w:tcPr>
            <w:tcW w:w="2575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2512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645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境外培训支出</w:t>
            </w:r>
          </w:p>
        </w:tc>
        <w:tc>
          <w:tcPr>
            <w:tcW w:w="2575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2512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645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（四）技术开发费</w:t>
            </w:r>
          </w:p>
        </w:tc>
        <w:tc>
          <w:tcPr>
            <w:tcW w:w="2575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2512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645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审计软件开发费</w:t>
            </w:r>
          </w:p>
        </w:tc>
        <w:tc>
          <w:tcPr>
            <w:tcW w:w="2575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2512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645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管理信息系统开发费</w:t>
            </w:r>
          </w:p>
        </w:tc>
        <w:tc>
          <w:tcPr>
            <w:tcW w:w="2575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2512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645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其他</w:t>
            </w:r>
          </w:p>
        </w:tc>
        <w:tc>
          <w:tcPr>
            <w:tcW w:w="2575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2512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645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（五）职业责任保费</w:t>
            </w:r>
          </w:p>
        </w:tc>
        <w:tc>
          <w:tcPr>
            <w:tcW w:w="2575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2512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645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（六）行业会费</w:t>
            </w:r>
          </w:p>
        </w:tc>
        <w:tc>
          <w:tcPr>
            <w:tcW w:w="2575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2512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645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（七）上缴管理费</w:t>
            </w:r>
          </w:p>
        </w:tc>
        <w:tc>
          <w:tcPr>
            <w:tcW w:w="2575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2512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645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．上缴国内管理总部管理费或服务费等</w:t>
            </w:r>
          </w:p>
        </w:tc>
        <w:tc>
          <w:tcPr>
            <w:tcW w:w="2575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2512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645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上交国际会计网络年费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***</w:t>
            </w:r>
          </w:p>
        </w:tc>
        <w:tc>
          <w:tcPr>
            <w:tcW w:w="2575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2512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645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（八）其他</w:t>
            </w:r>
          </w:p>
        </w:tc>
        <w:tc>
          <w:tcPr>
            <w:tcW w:w="2575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2512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645" w:type="dxa"/>
          </w:tcPr>
          <w:p>
            <w:pPr>
              <w:widowControl/>
              <w:spacing w:beforeLines="10" w:afterLines="10"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合计</w:t>
            </w:r>
          </w:p>
        </w:tc>
        <w:tc>
          <w:tcPr>
            <w:tcW w:w="2575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2512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645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二、各项税费支出</w:t>
            </w:r>
          </w:p>
        </w:tc>
        <w:tc>
          <w:tcPr>
            <w:tcW w:w="2575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2512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645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（一）增值税</w:t>
            </w:r>
          </w:p>
        </w:tc>
        <w:tc>
          <w:tcPr>
            <w:tcW w:w="2575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2512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645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（二）城市维护建设税</w:t>
            </w:r>
          </w:p>
        </w:tc>
        <w:tc>
          <w:tcPr>
            <w:tcW w:w="2575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2512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645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（三）教育费附加</w:t>
            </w:r>
          </w:p>
        </w:tc>
        <w:tc>
          <w:tcPr>
            <w:tcW w:w="2575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2512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645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（四）企业所得税</w:t>
            </w:r>
          </w:p>
        </w:tc>
        <w:tc>
          <w:tcPr>
            <w:tcW w:w="2575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2512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645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（五）个人所得税</w:t>
            </w:r>
          </w:p>
        </w:tc>
        <w:tc>
          <w:tcPr>
            <w:tcW w:w="2575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2512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645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合伙人（股东）个人所得税</w:t>
            </w:r>
          </w:p>
        </w:tc>
        <w:tc>
          <w:tcPr>
            <w:tcW w:w="2575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2512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645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其他人员个人所得税</w:t>
            </w:r>
          </w:p>
        </w:tc>
        <w:tc>
          <w:tcPr>
            <w:tcW w:w="2575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2512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645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（六）其他税费</w:t>
            </w:r>
          </w:p>
        </w:tc>
        <w:tc>
          <w:tcPr>
            <w:tcW w:w="2575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2512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645" w:type="dxa"/>
          </w:tcPr>
          <w:p>
            <w:pPr>
              <w:widowControl/>
              <w:spacing w:beforeLines="10" w:afterLines="10"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合计</w:t>
            </w:r>
          </w:p>
        </w:tc>
        <w:tc>
          <w:tcPr>
            <w:tcW w:w="2575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2512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645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三、其他支出</w:t>
            </w:r>
          </w:p>
        </w:tc>
        <w:tc>
          <w:tcPr>
            <w:tcW w:w="2575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2512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645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（一）捐赠支出</w:t>
            </w:r>
          </w:p>
        </w:tc>
        <w:tc>
          <w:tcPr>
            <w:tcW w:w="2575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2512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645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（二）剩余收益分配支出</w:t>
            </w:r>
          </w:p>
        </w:tc>
        <w:tc>
          <w:tcPr>
            <w:tcW w:w="2575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2512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645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向合伙人（股东）分配的剩余收益</w:t>
            </w:r>
          </w:p>
        </w:tc>
        <w:tc>
          <w:tcPr>
            <w:tcW w:w="2575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2512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645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向其他人员分配的剩余收益</w:t>
            </w:r>
          </w:p>
        </w:tc>
        <w:tc>
          <w:tcPr>
            <w:tcW w:w="2575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2512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645" w:type="dxa"/>
          </w:tcPr>
          <w:p>
            <w:pPr>
              <w:widowControl/>
              <w:spacing w:beforeLines="10" w:afterLines="10"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合计</w:t>
            </w:r>
          </w:p>
        </w:tc>
        <w:tc>
          <w:tcPr>
            <w:tcW w:w="2575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2512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645" w:type="dxa"/>
          </w:tcPr>
          <w:p>
            <w:pPr>
              <w:widowControl/>
              <w:spacing w:beforeLines="10" w:afterLines="10"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补充资料</w:t>
            </w:r>
          </w:p>
        </w:tc>
        <w:tc>
          <w:tcPr>
            <w:tcW w:w="2575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2512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645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合伙人（股东）本年平均人数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****</w:t>
            </w:r>
          </w:p>
        </w:tc>
        <w:tc>
          <w:tcPr>
            <w:tcW w:w="2575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2512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645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高级经理级人员本年平均人数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****</w:t>
            </w:r>
          </w:p>
        </w:tc>
        <w:tc>
          <w:tcPr>
            <w:tcW w:w="2575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2512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645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经理级人员本年平均人数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****</w:t>
            </w:r>
          </w:p>
        </w:tc>
        <w:tc>
          <w:tcPr>
            <w:tcW w:w="2575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2512" w:type="dxa"/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645" w:type="dxa"/>
            <w:tcBorders>
              <w:bottom w:val="single" w:color="auto" w:sz="8" w:space="0"/>
            </w:tcBorders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其他人员本年平均人数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****</w:t>
            </w:r>
          </w:p>
        </w:tc>
        <w:tc>
          <w:tcPr>
            <w:tcW w:w="2575" w:type="dxa"/>
            <w:tcBorders>
              <w:bottom w:val="single" w:color="auto" w:sz="8" w:space="0"/>
            </w:tcBorders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2512" w:type="dxa"/>
            <w:tcBorders>
              <w:bottom w:val="single" w:color="auto" w:sz="8" w:space="0"/>
            </w:tcBorders>
          </w:tcPr>
          <w:p>
            <w:pPr>
              <w:widowControl/>
              <w:spacing w:beforeLines="10" w:afterLines="10" w:line="240" w:lineRule="exac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</w:tr>
    </w:tbl>
    <w:p>
      <w:pPr>
        <w:pStyle w:val="6"/>
        <w:spacing w:line="300" w:lineRule="exact"/>
        <w:rPr>
          <w:rFonts w:ascii="宋体" w:hAnsi="宋体" w:eastAsia="宋体" w:cs="仿宋_GB2312"/>
          <w:color w:val="auto"/>
          <w:sz w:val="21"/>
          <w:szCs w:val="21"/>
        </w:rPr>
      </w:pPr>
    </w:p>
    <w:p>
      <w:pPr>
        <w:spacing w:line="300" w:lineRule="exact"/>
        <w:rPr>
          <w:rFonts w:ascii="Times" w:hAnsi="Times"/>
          <w:sz w:val="21"/>
          <w:szCs w:val="21"/>
        </w:rPr>
      </w:pPr>
      <w:r>
        <w:rPr>
          <w:rFonts w:hint="eastAsia" w:ascii="Times" w:hAnsi="Times"/>
          <w:sz w:val="21"/>
          <w:szCs w:val="21"/>
        </w:rPr>
        <w:t>注：</w:t>
      </w:r>
      <w:r>
        <w:rPr>
          <w:rFonts w:ascii="Times" w:hAnsi="Times"/>
          <w:sz w:val="21"/>
          <w:szCs w:val="21"/>
        </w:rPr>
        <w:t>*</w:t>
      </w:r>
      <w:r>
        <w:rPr>
          <w:rFonts w:hint="eastAsia" w:ascii="Times" w:hAnsi="Times"/>
          <w:sz w:val="21"/>
          <w:szCs w:val="21"/>
        </w:rPr>
        <w:t>会计师事务所以全所（含分所）数据填写本表，分所以本分所数据填写本表。</w:t>
      </w:r>
    </w:p>
    <w:p>
      <w:pPr>
        <w:spacing w:line="300" w:lineRule="exact"/>
        <w:rPr>
          <w:rFonts w:ascii="Times" w:hAnsi="Times"/>
          <w:sz w:val="21"/>
          <w:szCs w:val="21"/>
        </w:rPr>
      </w:pPr>
      <w:r>
        <w:rPr>
          <w:rFonts w:ascii="Times" w:hAnsi="Times"/>
          <w:sz w:val="21"/>
          <w:szCs w:val="21"/>
        </w:rPr>
        <w:t>**</w:t>
      </w:r>
      <w:r>
        <w:rPr>
          <w:rFonts w:hint="eastAsia" w:ascii="Times" w:hAnsi="Times"/>
          <w:sz w:val="21"/>
          <w:szCs w:val="21"/>
        </w:rPr>
        <w:t>包括办公费、差旅费、劳务费、租赁费。</w:t>
      </w:r>
    </w:p>
    <w:p>
      <w:pPr>
        <w:spacing w:line="300" w:lineRule="exact"/>
        <w:rPr>
          <w:rFonts w:ascii="Times" w:hAnsi="Times"/>
          <w:sz w:val="21"/>
          <w:szCs w:val="21"/>
        </w:rPr>
      </w:pPr>
      <w:r>
        <w:rPr>
          <w:rFonts w:ascii="Times" w:hAnsi="Times"/>
          <w:sz w:val="21"/>
          <w:szCs w:val="21"/>
        </w:rPr>
        <w:t>***</w:t>
      </w:r>
      <w:r>
        <w:rPr>
          <w:rFonts w:hint="eastAsia" w:ascii="Times" w:hAnsi="Times"/>
          <w:sz w:val="21"/>
          <w:szCs w:val="21"/>
        </w:rPr>
        <w:t>指加入国际会计网络后向管理总部上缴的管理费或服务费等。</w:t>
      </w:r>
    </w:p>
    <w:p>
      <w:pPr>
        <w:spacing w:line="300" w:lineRule="exact"/>
        <w:rPr>
          <w:rFonts w:ascii="Times" w:hAnsi="Times"/>
          <w:sz w:val="21"/>
          <w:szCs w:val="21"/>
        </w:rPr>
        <w:sectPr>
          <w:footerReference r:id="rId3" w:type="default"/>
          <w:pgSz w:w="11906" w:h="16838"/>
          <w:pgMar w:top="1985" w:right="1588" w:bottom="1985" w:left="1588" w:header="851" w:footer="1588" w:gutter="0"/>
          <w:cols w:space="425" w:num="1"/>
          <w:docGrid w:type="lines" w:linePitch="584" w:charSpace="0"/>
        </w:sectPr>
      </w:pPr>
      <w:r>
        <w:rPr>
          <w:rFonts w:ascii="Times" w:hAnsi="Times"/>
          <w:sz w:val="21"/>
          <w:szCs w:val="21"/>
        </w:rPr>
        <w:t>****</w:t>
      </w:r>
      <w:r>
        <w:rPr>
          <w:rFonts w:hint="eastAsia" w:ascii="Times" w:hAnsi="Times"/>
          <w:sz w:val="21"/>
          <w:szCs w:val="21"/>
        </w:rPr>
        <w:t>本年平均人数</w:t>
      </w:r>
      <w:r>
        <w:rPr>
          <w:rFonts w:ascii="Times" w:hAnsi="Times"/>
          <w:sz w:val="21"/>
          <w:szCs w:val="21"/>
        </w:rPr>
        <w:t>=</w:t>
      </w:r>
      <w:r>
        <w:rPr>
          <w:rFonts w:hint="eastAsia" w:ascii="Times" w:hAnsi="Times"/>
          <w:sz w:val="21"/>
          <w:szCs w:val="21"/>
        </w:rPr>
        <w:t>（</w:t>
      </w:r>
      <w:r>
        <w:rPr>
          <w:rFonts w:ascii="Times" w:hAnsi="Times"/>
          <w:sz w:val="21"/>
          <w:szCs w:val="21"/>
        </w:rPr>
        <w:t>2017</w:t>
      </w:r>
      <w:r>
        <w:rPr>
          <w:rFonts w:hint="eastAsia" w:ascii="Times" w:hAnsi="Times"/>
          <w:sz w:val="21"/>
          <w:szCs w:val="21"/>
        </w:rPr>
        <w:t>年末人数</w:t>
      </w:r>
      <w:r>
        <w:rPr>
          <w:rFonts w:ascii="Times" w:hAnsi="Times"/>
          <w:sz w:val="21"/>
          <w:szCs w:val="21"/>
        </w:rPr>
        <w:t>+2018</w:t>
      </w:r>
      <w:r>
        <w:rPr>
          <w:rFonts w:hint="eastAsia" w:ascii="Times" w:hAnsi="Times"/>
          <w:sz w:val="21"/>
          <w:szCs w:val="21"/>
        </w:rPr>
        <w:t>年末人数）</w:t>
      </w:r>
      <w:r>
        <w:rPr>
          <w:rFonts w:ascii="Times" w:hAnsi="Times"/>
          <w:sz w:val="21"/>
          <w:szCs w:val="21"/>
        </w:rPr>
        <w:t>/2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20" w:leftChars="100" w:right="320" w:rightChars="100"/>
      <w:rPr>
        <w:rStyle w:val="5"/>
        <w:sz w:val="28"/>
        <w:szCs w:val="28"/>
      </w:rPr>
    </w:pPr>
    <w:r>
      <w:rPr>
        <w:rStyle w:val="5"/>
        <w:rFonts w:ascii="宋体" w:hAnsi="宋体" w:eastAsia="宋体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13</w:t>
    </w:r>
    <w:r>
      <w:rPr>
        <w:rStyle w:val="5"/>
        <w:sz w:val="28"/>
        <w:szCs w:val="28"/>
      </w:rPr>
      <w:fldChar w:fldCharType="end"/>
    </w:r>
    <w:r>
      <w:rPr>
        <w:rStyle w:val="5"/>
        <w:rFonts w:ascii="宋体" w:hAnsi="宋体" w:eastAsia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35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99"/>
    <w:rPr>
      <w:rFonts w:cs="Times New Roman"/>
    </w:rPr>
  </w:style>
  <w:style w:type="paragraph" w:customStyle="1" w:styleId="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华文中宋" w:hAnsi="Times New Roman" w:eastAsia="华文中宋" w:cs="华文中宋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Elin</cp:lastModifiedBy>
  <dcterms:modified xsi:type="dcterms:W3CDTF">2019-03-15T06:14:20Z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2052-11.1.0.8524</vt:lpwstr>
  </property>
</Properties>
</file>