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附表</w:t>
      </w:r>
      <w:r>
        <w:rPr>
          <w:rFonts w:ascii="黑体" w:hAnsi="宋体" w:eastAsia="黑体"/>
          <w:bCs/>
          <w:szCs w:val="21"/>
        </w:rPr>
        <w:t>4</w:t>
      </w:r>
    </w:p>
    <w:p>
      <w:pPr>
        <w:widowControl/>
        <w:spacing w:line="584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会计师事务所（分所）业务收入明细表</w:t>
      </w:r>
    </w:p>
    <w:p>
      <w:pPr>
        <w:pStyle w:val="6"/>
        <w:jc w:val="right"/>
        <w:rPr>
          <w:rFonts w:ascii="楷体_GB2312" w:hAnsi="宋体" w:eastAsia="楷体_GB2312" w:cs="仿宋_GB2312"/>
          <w:color w:val="auto"/>
          <w:sz w:val="21"/>
          <w:szCs w:val="21"/>
        </w:rPr>
      </w:pPr>
      <w:r>
        <w:rPr>
          <w:rFonts w:ascii="楷体_GB2312" w:hAnsi="宋体" w:eastAsia="楷体_GB2312" w:cs="仿宋_GB2312"/>
          <w:color w:val="auto"/>
          <w:sz w:val="18"/>
          <w:szCs w:val="18"/>
        </w:rPr>
        <w:t xml:space="preserve">        </w:t>
      </w:r>
      <w:r>
        <w:rPr>
          <w:rFonts w:ascii="楷体_GB2312" w:hAnsi="宋体" w:eastAsia="楷体_GB2312"/>
          <w:color w:val="auto"/>
          <w:sz w:val="18"/>
          <w:szCs w:val="18"/>
        </w:rPr>
        <w:t xml:space="preserve">                                          </w:t>
      </w:r>
      <w:r>
        <w:rPr>
          <w:rFonts w:ascii="楷体_GB2312" w:hAnsi="宋体" w:eastAsia="楷体_GB2312"/>
          <w:color w:val="auto"/>
          <w:sz w:val="21"/>
          <w:szCs w:val="21"/>
        </w:rPr>
        <w:t xml:space="preserve"> </w:t>
      </w:r>
      <w:r>
        <w:rPr>
          <w:rFonts w:hint="eastAsia" w:ascii="楷体_GB2312" w:hAnsi="宋体" w:eastAsia="楷体_GB2312"/>
          <w:color w:val="auto"/>
          <w:sz w:val="21"/>
          <w:szCs w:val="21"/>
        </w:rPr>
        <w:t>单位：万元</w:t>
      </w:r>
    </w:p>
    <w:tbl>
      <w:tblPr>
        <w:tblStyle w:val="3"/>
        <w:tblW w:w="873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1509"/>
        <w:gridCol w:w="1509"/>
        <w:gridCol w:w="1509"/>
        <w:gridCol w:w="15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宋体" w:eastAsia="黑体"/>
                <w:bCs/>
                <w:sz w:val="21"/>
                <w:szCs w:val="21"/>
              </w:rPr>
              <w:t>项</w:t>
            </w:r>
            <w:r>
              <w:rPr>
                <w:rFonts w:ascii="黑体" w:hAnsi="宋体" w:eastAsia="黑体"/>
                <w:bCs/>
                <w:sz w:val="21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sz w:val="21"/>
                <w:szCs w:val="21"/>
              </w:rPr>
              <w:t>目</w:t>
            </w:r>
          </w:p>
        </w:tc>
        <w:tc>
          <w:tcPr>
            <w:tcW w:w="301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宋体" w:eastAsia="黑体"/>
                <w:bCs/>
                <w:sz w:val="21"/>
                <w:szCs w:val="21"/>
              </w:rPr>
              <w:t>证券期货相关业务</w:t>
            </w:r>
          </w:p>
        </w:tc>
        <w:tc>
          <w:tcPr>
            <w:tcW w:w="30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宋体" w:eastAsia="黑体"/>
                <w:bCs/>
                <w:sz w:val="21"/>
                <w:szCs w:val="21"/>
              </w:rPr>
              <w:t>非证券期货相关业务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</w:t>
            </w:r>
          </w:p>
        </w:tc>
        <w:tc>
          <w:tcPr>
            <w:tcW w:w="1509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</w:t>
            </w:r>
          </w:p>
        </w:tc>
        <w:tc>
          <w:tcPr>
            <w:tcW w:w="1509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</w:t>
            </w:r>
          </w:p>
        </w:tc>
        <w:tc>
          <w:tcPr>
            <w:tcW w:w="151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、主营业务收入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（一）财务报表审计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年报审计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中报审计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专项审计</w:t>
            </w:r>
            <w:r>
              <w:rPr>
                <w:rFonts w:ascii="宋体" w:hAnsi="宋体" w:eastAsia="宋体"/>
                <w:sz w:val="21"/>
                <w:szCs w:val="21"/>
              </w:rPr>
              <w:t>**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（二）内部控制审计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（三）验资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（四）资产评估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（五）涉税鉴证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（六）工程预决算审核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（七）其他鉴证业务</w:t>
            </w:r>
            <w:r>
              <w:rPr>
                <w:rFonts w:ascii="宋体" w:hAnsi="宋体" w:eastAsia="宋体"/>
                <w:sz w:val="21"/>
                <w:szCs w:val="21"/>
              </w:rPr>
              <w:t>***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（八）会计服务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（九）税务服务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（十）咨询服务</w:t>
            </w:r>
            <w:r>
              <w:rPr>
                <w:rFonts w:ascii="宋体" w:hAnsi="宋体" w:eastAsia="宋体"/>
                <w:sz w:val="21"/>
                <w:szCs w:val="21"/>
              </w:rPr>
              <w:t>****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（十一）其他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二、其他业务收入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（一）培训收入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（二）其他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业务收入合计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补充资料：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一、国际业务收入情况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境外分支机构收入</w:t>
            </w:r>
            <w:r>
              <w:rPr>
                <w:rFonts w:ascii="宋体" w:hAnsi="宋体" w:eastAsia="宋体"/>
                <w:sz w:val="21"/>
                <w:szCs w:val="21"/>
              </w:rPr>
              <w:t>*****</w:t>
            </w:r>
          </w:p>
        </w:tc>
        <w:tc>
          <w:tcPr>
            <w:tcW w:w="1509" w:type="dxa"/>
          </w:tcPr>
          <w:p>
            <w:pPr>
              <w:keepNext/>
              <w:keepLines/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keepNext/>
              <w:keepLines/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keepNext/>
              <w:keepLines/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keepNext/>
              <w:keepLines/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为内地企业提供境外上市、融资或其他审计服务取得的收入</w:t>
            </w:r>
          </w:p>
        </w:tc>
        <w:tc>
          <w:tcPr>
            <w:tcW w:w="1509" w:type="dxa"/>
          </w:tcPr>
          <w:p>
            <w:pPr>
              <w:keepNext/>
              <w:keepLines/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keepNext/>
              <w:keepLines/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来源于境外客户的其他收入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二、客户数量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财务报表审计户数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内部控制审计户数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验资户数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资产评估户数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涉税鉴证户数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工程预决算审核户数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其他业务服务户数</w:t>
            </w: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tcBorders>
              <w:bottom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ind w:firstLine="211" w:firstLineChars="10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客户总数</w:t>
            </w:r>
          </w:p>
        </w:tc>
        <w:tc>
          <w:tcPr>
            <w:tcW w:w="1509" w:type="dxa"/>
            <w:tcBorders>
              <w:bottom w:val="single" w:color="auto" w:sz="8" w:space="0"/>
            </w:tcBorders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  <w:tcBorders>
              <w:bottom w:val="single" w:color="auto" w:sz="8" w:space="0"/>
            </w:tcBorders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  <w:tcBorders>
              <w:bottom w:val="single" w:color="auto" w:sz="8" w:space="0"/>
            </w:tcBorders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  <w:tcBorders>
              <w:bottom w:val="single" w:color="auto" w:sz="8" w:space="0"/>
            </w:tcBorders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6"/>
        <w:spacing w:line="280" w:lineRule="exact"/>
        <w:rPr>
          <w:rFonts w:ascii="宋体" w:hAnsi="宋体" w:eastAsia="宋体" w:cs="仿宋_GB2312"/>
          <w:color w:val="auto"/>
          <w:sz w:val="18"/>
          <w:szCs w:val="18"/>
        </w:rPr>
      </w:pP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hint="eastAsia" w:ascii="Times" w:hAnsi="Times"/>
          <w:sz w:val="21"/>
          <w:szCs w:val="21"/>
        </w:rPr>
        <w:t>注：</w:t>
      </w:r>
      <w:r>
        <w:rPr>
          <w:rFonts w:ascii="Times" w:hAnsi="Times"/>
          <w:sz w:val="21"/>
          <w:szCs w:val="21"/>
        </w:rPr>
        <w:t>*</w:t>
      </w:r>
      <w:r>
        <w:rPr>
          <w:rFonts w:hint="eastAsia" w:ascii="Times" w:hAnsi="Times"/>
          <w:sz w:val="21"/>
          <w:szCs w:val="21"/>
        </w:rPr>
        <w:t>会计师事务所以全所（含分所）数据填写本表，分所以本分所数据填写本表。</w:t>
      </w: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**</w:t>
      </w:r>
      <w:r>
        <w:rPr>
          <w:rFonts w:hint="eastAsia" w:ascii="Times" w:hAnsi="Times"/>
          <w:sz w:val="21"/>
          <w:szCs w:val="21"/>
        </w:rPr>
        <w:t>指与财务报表紧密相关的一些专项审计业务，如</w:t>
      </w:r>
      <w:r>
        <w:rPr>
          <w:rFonts w:ascii="Times" w:hAnsi="Times"/>
          <w:sz w:val="21"/>
          <w:szCs w:val="21"/>
        </w:rPr>
        <w:t>IPO</w:t>
      </w:r>
      <w:r>
        <w:rPr>
          <w:rFonts w:hint="eastAsia" w:ascii="Times" w:hAnsi="Times"/>
          <w:sz w:val="21"/>
          <w:szCs w:val="21"/>
        </w:rPr>
        <w:t>审计、净资产专项审计等。</w:t>
      </w: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***</w:t>
      </w:r>
      <w:r>
        <w:rPr>
          <w:rFonts w:hint="eastAsia" w:ascii="Times" w:hAnsi="Times"/>
          <w:sz w:val="21"/>
          <w:szCs w:val="21"/>
        </w:rPr>
        <w:t>指（一）至（六）项业务以外的带有鉴证或证明性质的业务，如高新技术企业认定审计、司法鉴定、捐赠审计、移民审计、结项审计等。</w:t>
      </w: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****</w:t>
      </w:r>
      <w:r>
        <w:rPr>
          <w:rFonts w:hint="eastAsia" w:ascii="Times" w:hAnsi="Times"/>
          <w:sz w:val="21"/>
          <w:szCs w:val="21"/>
        </w:rPr>
        <w:t>税务咨询服务在“税务服务”项目中列示。</w:t>
      </w: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*****</w:t>
      </w:r>
      <w:r>
        <w:rPr>
          <w:rFonts w:hint="eastAsia" w:ascii="Times" w:hAnsi="Times"/>
          <w:sz w:val="21"/>
          <w:szCs w:val="21"/>
        </w:rPr>
        <w:t>指会计师事务所在境外设立的、具有实质控制权的分支机构的收入，以人民币表示。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0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paragraph" w:customStyle="1" w:styleId="6">
    <w:name w:val="Default"/>
    <w:uiPriority w:val="99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Elin</cp:lastModifiedBy>
  <dcterms:modified xsi:type="dcterms:W3CDTF">2019-03-15T06:13:48Z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