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2</w:t>
      </w:r>
    </w:p>
    <w:p>
      <w:pPr>
        <w:widowControl/>
        <w:spacing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会计师事务所分所基本情况表</w:t>
      </w:r>
    </w:p>
    <w:tbl>
      <w:tblPr>
        <w:tblStyle w:val="3"/>
        <w:tblW w:w="87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4"/>
        <w:gridCol w:w="1771"/>
        <w:gridCol w:w="2509"/>
        <w:gridCol w:w="2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7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基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本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情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称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所属行政区划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组织形式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执业许可批准日期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执业许可批准文号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分所负责人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分所负责人注册会计师证书编号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分所负责人是否为会计师事务所合伙人（股东）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分所负责人注册关系是否在分所所在地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分所负责人注册关系所在地（如非分所所在地）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经营场所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报备业务联系人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报备业务联系电话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年度本分所注册会计师因执业行为受行政处罚情况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年度本分所注册会计师因执业行为受行业惩戒情况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732" w:type="dxa"/>
            <w:gridSpan w:val="4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人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员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情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分所从业人数</w:t>
            </w:r>
          </w:p>
        </w:tc>
        <w:tc>
          <w:tcPr>
            <w:tcW w:w="1771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注册会计师人数（注册关系在分所所在地）</w:t>
            </w:r>
          </w:p>
        </w:tc>
        <w:tc>
          <w:tcPr>
            <w:tcW w:w="2198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732" w:type="dxa"/>
            <w:gridSpan w:val="4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ascii="黑体" w:hAnsi="宋体" w:eastAsia="黑体"/>
                <w:sz w:val="21"/>
                <w:szCs w:val="21"/>
              </w:rPr>
              <w:t>2018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年度财务情况（单位：万元）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审计业务收入</w:t>
            </w:r>
            <w:r>
              <w:rPr>
                <w:rFonts w:ascii="宋体" w:hAnsi="宋体" w:eastAsia="宋体"/>
                <w:sz w:val="21"/>
                <w:szCs w:val="21"/>
              </w:rPr>
              <w:t>***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税务业务收入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咨询业务收入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其他业务收入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5" w:type="dxa"/>
            <w:gridSpan w:val="2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业务收入合计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732" w:type="dxa"/>
            <w:gridSpan w:val="4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本分所注册会计师因执业行为受行政处罚或行业惩戒的，应当在本栏填写各次处罚（惩戒）实施的监管机构、时间、原因、种类以及注册会计师的姓名和执业证书编号。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人数以</w:t>
      </w:r>
      <w:r>
        <w:rPr>
          <w:rFonts w:ascii="Times" w:hAnsi="Times"/>
          <w:sz w:val="21"/>
          <w:szCs w:val="21"/>
        </w:rPr>
        <w:t>2018</w:t>
      </w:r>
      <w:r>
        <w:rPr>
          <w:rFonts w:hint="eastAsia" w:ascii="Times" w:hAnsi="Times"/>
          <w:sz w:val="21"/>
          <w:szCs w:val="21"/>
        </w:rPr>
        <w:t>年</w:t>
      </w:r>
      <w:r>
        <w:rPr>
          <w:rFonts w:ascii="Times" w:hAnsi="Times"/>
          <w:sz w:val="21"/>
          <w:szCs w:val="21"/>
        </w:rPr>
        <w:t>12</w:t>
      </w:r>
      <w:r>
        <w:rPr>
          <w:rFonts w:hint="eastAsia" w:ascii="Times" w:hAnsi="Times"/>
          <w:sz w:val="21"/>
          <w:szCs w:val="21"/>
        </w:rPr>
        <w:t>月</w:t>
      </w:r>
      <w:r>
        <w:rPr>
          <w:rFonts w:ascii="Times" w:hAnsi="Times"/>
          <w:sz w:val="21"/>
          <w:szCs w:val="21"/>
        </w:rPr>
        <w:t>31</w:t>
      </w:r>
      <w:r>
        <w:rPr>
          <w:rFonts w:hint="eastAsia" w:ascii="Times" w:hAnsi="Times"/>
          <w:sz w:val="21"/>
          <w:szCs w:val="21"/>
        </w:rPr>
        <w:t>日数据为准，下同。</w:t>
      </w:r>
    </w:p>
    <w:p>
      <w:pPr>
        <w:spacing w:line="300" w:lineRule="exact"/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如无特别说明，审计业务收入包括财务报表审计（包括与财务报表审计密切相关的专项审计）、内部控制审计、验资和其他审计业务，下同。</w:t>
      </w:r>
      <w:bookmarkStart w:id="0" w:name="_GoBack"/>
      <w:bookmarkEnd w:id="0"/>
    </w:p>
    <w:sectPr>
      <w:footerReference r:id="rId3" w:type="default"/>
      <w:pgSz w:w="11906" w:h="16838"/>
      <w:pgMar w:top="1984" w:right="1587" w:bottom="1984" w:left="1587" w:header="851" w:footer="992" w:gutter="0"/>
      <w:paperSrc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